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y1bi435qri7g"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u w:val="single"/>
        </w:rPr>
      </w:pPr>
      <w:r w:rsidDel="00000000" w:rsidR="00000000" w:rsidRPr="00000000">
        <w:rPr>
          <w:rFonts w:ascii="Times New Roman" w:cs="Times New Roman" w:eastAsia="Times New Roman" w:hAnsi="Times New Roman"/>
          <w:b w:val="1"/>
          <w:color w:val="000000"/>
          <w:sz w:val="28"/>
          <w:szCs w:val="28"/>
          <w:u w:val="single"/>
          <w:rtl w:val="0"/>
        </w:rPr>
        <w:t xml:space="preserve">Наименование образовательной организации</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lineRule="auto"/>
        <w:ind w:left="120" w:firstLine="0"/>
        <w:jc w:val="center"/>
        <w:rPr/>
      </w:pP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«Геометрия. Базовый уровень»</w:t>
      </w: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10–11 классов </w:t>
      </w: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wah0o0avwm9e" w:id="1"/>
    <w:bookmarkEnd w:id="1"/>
    <w:p w:rsidR="00000000" w:rsidDel="00000000" w:rsidP="00000000" w:rsidRDefault="00000000" w:rsidRPr="00000000" w14:paraId="0000003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учебного курса «Геометрия»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КУРСА</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r w:rsidDel="00000000" w:rsidR="00000000" w:rsidRPr="00000000">
        <w:rPr>
          <w:rtl w:val="0"/>
        </w:rPr>
      </w:r>
    </w:p>
    <w:p w:rsidR="00000000" w:rsidDel="00000000" w:rsidP="00000000" w:rsidRDefault="00000000" w:rsidRPr="00000000" w14:paraId="0000003B">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представления о геометрии как части мировой культуры и осознание её взаимосвязи с окружающим миром;</w:t>
      </w:r>
      <w:r w:rsidDel="00000000" w:rsidR="00000000" w:rsidRPr="00000000">
        <w:rPr>
          <w:rtl w:val="0"/>
        </w:rPr>
      </w:r>
    </w:p>
    <w:p w:rsidR="00000000" w:rsidDel="00000000" w:rsidP="00000000" w:rsidRDefault="00000000" w:rsidRPr="00000000" w14:paraId="0000003C">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r w:rsidDel="00000000" w:rsidR="00000000" w:rsidRPr="00000000">
        <w:rPr>
          <w:rtl w:val="0"/>
        </w:rPr>
      </w:r>
    </w:p>
    <w:p w:rsidR="00000000" w:rsidDel="00000000" w:rsidP="00000000" w:rsidRDefault="00000000" w:rsidRPr="00000000" w14:paraId="0000003D">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распознавать на чертежах, моделях и в реальном мире многогранники и тела вращения; </w:t>
      </w:r>
      <w:r w:rsidDel="00000000" w:rsidR="00000000" w:rsidRPr="00000000">
        <w:rPr>
          <w:rtl w:val="0"/>
        </w:rPr>
      </w:r>
    </w:p>
    <w:p w:rsidR="00000000" w:rsidDel="00000000" w:rsidP="00000000" w:rsidRDefault="00000000" w:rsidRPr="00000000" w14:paraId="0000003E">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методами решения задач на построения на изображениях пространственных фигур; </w:t>
      </w:r>
      <w:r w:rsidDel="00000000" w:rsidR="00000000" w:rsidRPr="00000000">
        <w:rPr>
          <w:rtl w:val="0"/>
        </w:rPr>
      </w:r>
    </w:p>
    <w:p w:rsidR="00000000" w:rsidDel="00000000" w:rsidP="00000000" w:rsidRDefault="00000000" w:rsidRPr="00000000" w14:paraId="0000003F">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оперировать основными понятиями о многогранниках и телах вращения и их основными свойствами;</w:t>
      </w:r>
      <w:r w:rsidDel="00000000" w:rsidR="00000000" w:rsidRPr="00000000">
        <w:rPr>
          <w:rtl w:val="0"/>
        </w:rPr>
      </w:r>
    </w:p>
    <w:p w:rsidR="00000000" w:rsidDel="00000000" w:rsidP="00000000" w:rsidRDefault="00000000" w:rsidRPr="00000000" w14:paraId="00000040">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r w:rsidDel="00000000" w:rsidR="00000000" w:rsidRPr="00000000">
        <w:rPr>
          <w:rtl w:val="0"/>
        </w:rPr>
      </w:r>
    </w:p>
    <w:p w:rsidR="00000000" w:rsidDel="00000000" w:rsidP="00000000" w:rsidRDefault="00000000" w:rsidRPr="00000000" w14:paraId="00000041">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w:t>
      </w:r>
      <w:r w:rsidDel="00000000" w:rsidR="00000000" w:rsidRPr="00000000">
        <w:rPr>
          <w:rtl w:val="0"/>
        </w:rPr>
      </w:r>
    </w:p>
    <w:p w:rsidR="00000000" w:rsidDel="00000000" w:rsidP="00000000" w:rsidRDefault="00000000" w:rsidRPr="00000000" w14:paraId="00000042">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способствует развитию логического и пространственного мышления, стимулирует протекание интуитивных процессов, мотивирует к дальнейшему изучению предмета. </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r w:rsidDel="00000000" w:rsidR="00000000" w:rsidRPr="00000000">
        <w:rPr>
          <w:rtl w:val="0"/>
        </w:rPr>
      </w:r>
    </w:p>
    <w:p w:rsidR="00000000" w:rsidDel="00000000" w:rsidP="00000000" w:rsidRDefault="00000000" w:rsidRPr="00000000" w14:paraId="00000047">
      <w:pPr>
        <w:spacing w:after="0" w:line="264" w:lineRule="auto"/>
        <w:ind w:left="120" w:firstLine="0"/>
        <w:jc w:val="both"/>
        <w:rPr/>
      </w:pPr>
      <w:bookmarkStart w:colFirst="0" w:colLast="0" w:name="_m8kwa3vnfqp5" w:id="2"/>
      <w:bookmarkEnd w:id="2"/>
      <w:r w:rsidDel="00000000" w:rsidR="00000000" w:rsidRPr="00000000">
        <w:rPr>
          <w:rFonts w:ascii="Times New Roman" w:cs="Times New Roman" w:eastAsia="Times New Roman" w:hAnsi="Times New Roman"/>
          <w:b w:val="1"/>
          <w:color w:val="000000"/>
          <w:sz w:val="28"/>
          <w:szCs w:val="28"/>
          <w:rtl w:val="0"/>
        </w:rPr>
        <w:t xml:space="preserve">МЕСТО УЧЕБНОГО КУРСА В УЧЕБНОМ ПЛАНЕ</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 изучение геометрии отводится 2 часа в неделю в 10 классе и 1 час в неделю в 11 классе, всего за два года обучения - 102 учебных часа.</w:t>
      </w:r>
      <w:r w:rsidDel="00000000" w:rsidR="00000000" w:rsidRPr="00000000">
        <w:rPr>
          <w:rtl w:val="0"/>
        </w:rPr>
      </w:r>
    </w:p>
    <w:bookmarkStart w:colFirst="0" w:colLast="0" w:name="nln8flwx435i" w:id="3"/>
    <w:bookmarkEnd w:id="3"/>
    <w:p w:rsidR="00000000" w:rsidDel="00000000" w:rsidP="00000000" w:rsidRDefault="00000000" w:rsidRPr="00000000" w14:paraId="00000049">
      <w:pPr>
        <w:spacing w:after="0" w:line="264" w:lineRule="auto"/>
        <w:ind w:left="120" w:firstLine="0"/>
        <w:jc w:val="both"/>
        <w:rPr/>
      </w:pPr>
      <w:bookmarkStart w:colFirst="0" w:colLast="0" w:name="_r26b2wvq18tl" w:id="4"/>
      <w:bookmarkEnd w:id="4"/>
      <w:r w:rsidDel="00000000" w:rsidR="00000000" w:rsidRPr="00000000">
        <w:rPr>
          <w:rFonts w:ascii="Times New Roman" w:cs="Times New Roman" w:eastAsia="Times New Roman" w:hAnsi="Times New Roman"/>
          <w:b w:val="1"/>
          <w:color w:val="000000"/>
          <w:sz w:val="28"/>
          <w:szCs w:val="28"/>
          <w:rtl w:val="0"/>
        </w:rPr>
        <w:t xml:space="preserve">СОДЕРЖАНИЕ УЧЕБНОГО КУРСА</w:t>
      </w:r>
      <w:r w:rsidDel="00000000" w:rsidR="00000000" w:rsidRPr="00000000">
        <w:rPr>
          <w:rtl w:val="0"/>
        </w:rPr>
      </w:r>
    </w:p>
    <w:p w:rsidR="00000000" w:rsidDel="00000000" w:rsidP="00000000" w:rsidRDefault="00000000" w:rsidRPr="00000000" w14:paraId="0000004A">
      <w:pPr>
        <w:spacing w:after="0" w:line="264" w:lineRule="auto"/>
        <w:ind w:left="120" w:firstLine="0"/>
        <w:jc w:val="both"/>
        <w:rPr/>
      </w:pPr>
      <w:bookmarkStart w:colFirst="0" w:colLast="0" w:name="_rntpifl8f3mt" w:id="5"/>
      <w:bookmarkEnd w:id="5"/>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Прямые и плоскости в пространстве</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Многогранники</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многогранника, основные элементы многогранника, выпуклые и невыпуклые многогранники; развёртка многогранника. Призма: </w:t>
      </w:r>
      <w:r w:rsidDel="00000000" w:rsidR="00000000" w:rsidRPr="00000000">
        <w:rPr>
          <w:rFonts w:ascii="Times New Roman" w:cs="Times New Roman" w:eastAsia="Times New Roman" w:hAnsi="Times New Roman"/>
          <w:i w:val="1"/>
          <w:color w:val="000000"/>
          <w:sz w:val="28"/>
          <w:szCs w:val="28"/>
          <w:rtl w:val="0"/>
        </w:rPr>
        <w:t xml:space="preserve">n-</w:t>
      </w:r>
      <w:r w:rsidDel="00000000" w:rsidR="00000000" w:rsidRPr="00000000">
        <w:rPr>
          <w:rFonts w:ascii="Times New Roman" w:cs="Times New Roman" w:eastAsia="Times New Roman" w:hAnsi="Times New Roman"/>
          <w:color w:val="000000"/>
          <w:sz w:val="28"/>
          <w:szCs w:val="28"/>
          <w:rtl w:val="0"/>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Del="00000000" w:rsidR="00000000" w:rsidRPr="00000000">
        <w:rPr>
          <w:rFonts w:ascii="Times New Roman" w:cs="Times New Roman" w:eastAsia="Times New Roman" w:hAnsi="Times New Roman"/>
          <w:i w:val="1"/>
          <w:color w:val="000000"/>
          <w:sz w:val="28"/>
          <w:szCs w:val="28"/>
          <w:rtl w:val="0"/>
        </w:rPr>
        <w:t xml:space="preserve">n</w:t>
      </w:r>
      <w:r w:rsidDel="00000000" w:rsidR="00000000" w:rsidRPr="00000000">
        <w:rPr>
          <w:rFonts w:ascii="Times New Roman" w:cs="Times New Roman" w:eastAsia="Times New Roman" w:hAnsi="Times New Roman"/>
          <w:color w:val="000000"/>
          <w:sz w:val="28"/>
          <w:szCs w:val="28"/>
          <w:rtl w:val="0"/>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p w:rsidR="00000000" w:rsidDel="00000000" w:rsidP="00000000" w:rsidRDefault="00000000" w:rsidRPr="00000000" w14:paraId="00000054">
      <w:pPr>
        <w:spacing w:after="0" w:line="264" w:lineRule="auto"/>
        <w:ind w:left="120" w:firstLine="0"/>
        <w:jc w:val="both"/>
        <w:rPr/>
      </w:pPr>
      <w:bookmarkStart w:colFirst="0" w:colLast="0" w:name="_cn29my121the" w:id="6"/>
      <w:bookmarkEnd w:id="6"/>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Тела вращения</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Изображение тел вращения на плоскости. Развёртка цилиндра и конуса.</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Комбинации тел вращения и многогранников. Многогранник, описанный около сферы; сфера, вписанная в многогранник, или тело вращения.</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Сечения цилиндра (параллельно и перпендикулярно оси), сечения конуса (параллельное основанию и проходящее через вершину), сечения шара.</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Векторы и координаты в пространстве</w:t>
      </w:r>
      <w:r w:rsidDel="00000000" w:rsidR="00000000" w:rsidRPr="00000000">
        <w:rPr>
          <w:rtl w:val="0"/>
        </w:rPr>
      </w:r>
    </w:p>
    <w:p w:rsidR="00000000" w:rsidDel="00000000" w:rsidP="00000000" w:rsidRDefault="00000000" w:rsidRPr="00000000" w14:paraId="0000005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sidDel="00000000" w:rsidR="00000000" w:rsidRPr="00000000">
        <w:rPr>
          <w:rtl w:val="0"/>
        </w:rPr>
      </w:r>
    </w:p>
    <w:bookmarkStart w:colFirst="0" w:colLast="0" w:name="x1l9s2ipv87s" w:id="7"/>
    <w:bookmarkEnd w:id="7"/>
    <w:p w:rsidR="00000000" w:rsidDel="00000000" w:rsidP="00000000" w:rsidRDefault="00000000" w:rsidRPr="00000000" w14:paraId="00000060">
      <w:pPr>
        <w:spacing w:after="0" w:line="264" w:lineRule="auto"/>
        <w:ind w:left="120" w:firstLine="0"/>
        <w:jc w:val="both"/>
        <w:rPr/>
      </w:pPr>
      <w:bookmarkStart w:colFirst="0" w:colLast="0" w:name="_kccjp9dsr242" w:id="8"/>
      <w:bookmarkEnd w:id="8"/>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w:t>
      </w:r>
      <w:r w:rsidDel="00000000" w:rsidR="00000000" w:rsidRPr="00000000">
        <w:rPr>
          <w:rtl w:val="0"/>
        </w:rPr>
      </w:r>
    </w:p>
    <w:p w:rsidR="00000000" w:rsidDel="00000000" w:rsidP="00000000" w:rsidRDefault="00000000" w:rsidRPr="00000000" w14:paraId="00000061">
      <w:pPr>
        <w:spacing w:after="0" w:line="264" w:lineRule="auto"/>
        <w:ind w:left="120" w:firstLine="0"/>
        <w:jc w:val="both"/>
        <w:rPr/>
      </w:pPr>
      <w:bookmarkStart w:colFirst="0" w:colLast="0" w:name="_i9kfp3glmmzn" w:id="9"/>
      <w:bookmarkEnd w:id="9"/>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учебного предмета «Математика» характеризуются:</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Гражданское воспитание:</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Патриотическое воспитание:</w:t>
      </w:r>
      <w:r w:rsidDel="00000000" w:rsidR="00000000" w:rsidRPr="00000000">
        <w:rPr>
          <w:rtl w:val="0"/>
        </w:rPr>
      </w:r>
    </w:p>
    <w:p w:rsidR="00000000" w:rsidDel="00000000" w:rsidP="00000000" w:rsidRDefault="00000000" w:rsidRPr="00000000" w14:paraId="00000066">
      <w:pPr>
        <w:shd w:fill="ffffff" w:val="clea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Эстетическое воспитание:</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Физическое воспитание:</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Трудовое воспитание:</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Экологическое воспитание:</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073">
      <w:pPr>
        <w:spacing w:after="0" w:line="264" w:lineRule="auto"/>
        <w:ind w:left="120" w:firstLine="0"/>
        <w:jc w:val="both"/>
        <w:rPr/>
      </w:pPr>
      <w:bookmarkStart w:colFirst="0" w:colLast="0" w:name="_oxwvhdxgcs3c" w:id="10"/>
      <w:bookmarkEnd w:id="10"/>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программы учебного предмета «Математика» характеризуются овладением универсальными </w:t>
      </w:r>
      <w:r w:rsidDel="00000000" w:rsidR="00000000" w:rsidRPr="00000000">
        <w:rPr>
          <w:rFonts w:ascii="Times New Roman" w:cs="Times New Roman" w:eastAsia="Times New Roman" w:hAnsi="Times New Roman"/>
          <w:b w:val="1"/>
          <w:i w:val="1"/>
          <w:color w:val="000000"/>
          <w:sz w:val="28"/>
          <w:szCs w:val="28"/>
          <w:rtl w:val="0"/>
        </w:rPr>
        <w:t xml:space="preserve">познавательными</w:t>
      </w:r>
      <w:r w:rsidDel="00000000" w:rsidR="00000000" w:rsidRPr="00000000">
        <w:rPr>
          <w:rFonts w:ascii="Times New Roman" w:cs="Times New Roman" w:eastAsia="Times New Roman" w:hAnsi="Times New Roman"/>
          <w:i w:val="1"/>
          <w:color w:val="000000"/>
          <w:sz w:val="28"/>
          <w:szCs w:val="28"/>
          <w:rtl w:val="0"/>
        </w:rPr>
        <w:t xml:space="preserve"> действиями, универсальными коммуникативными действиями, универсальными регулятивными действиями.</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i w:val="1"/>
          <w:color w:val="000000"/>
          <w:sz w:val="28"/>
          <w:szCs w:val="28"/>
          <w:rtl w:val="0"/>
        </w:rPr>
        <w:t xml:space="preserve">Универсальные </w:t>
      </w:r>
      <w:r w:rsidDel="00000000" w:rsidR="00000000" w:rsidRPr="00000000">
        <w:rPr>
          <w:rFonts w:ascii="Times New Roman" w:cs="Times New Roman" w:eastAsia="Times New Roman" w:hAnsi="Times New Roman"/>
          <w:b w:val="1"/>
          <w:i w:val="1"/>
          <w:color w:val="000000"/>
          <w:sz w:val="28"/>
          <w:szCs w:val="28"/>
          <w:rtl w:val="0"/>
        </w:rPr>
        <w:t xml:space="preserve">познавательные</w:t>
      </w:r>
      <w:r w:rsidDel="00000000" w:rsidR="00000000" w:rsidRPr="00000000">
        <w:rPr>
          <w:rFonts w:ascii="Times New Roman" w:cs="Times New Roman" w:eastAsia="Times New Roman" w:hAnsi="Times New Roman"/>
          <w:i w:val="1"/>
          <w:color w:val="000000"/>
          <w:sz w:val="28"/>
          <w:szCs w:val="28"/>
          <w:rtl w:val="0"/>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07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07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формулировать и преобразовывать суждения: утвердительные и отрицательные, единичные, частные и общие; условные;</w:t>
      </w:r>
      <w:r w:rsidDel="00000000" w:rsidR="00000000" w:rsidRPr="00000000">
        <w:rPr>
          <w:rtl w:val="0"/>
        </w:rPr>
      </w:r>
    </w:p>
    <w:p w:rsidR="00000000" w:rsidDel="00000000" w:rsidP="00000000" w:rsidRDefault="00000000" w:rsidRPr="00000000" w14:paraId="00000079">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r w:rsidDel="00000000" w:rsidR="00000000" w:rsidRPr="00000000">
        <w:rPr>
          <w:rtl w:val="0"/>
        </w:rPr>
      </w:r>
    </w:p>
    <w:p w:rsidR="00000000" w:rsidDel="00000000" w:rsidP="00000000" w:rsidRDefault="00000000" w:rsidRPr="00000000" w14:paraId="0000007A">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выводы с использованием законов логики, дедуктивных и индуктивных умозаключений, умозаключений по аналогии;</w:t>
      </w:r>
      <w:r w:rsidDel="00000000" w:rsidR="00000000" w:rsidRPr="00000000">
        <w:rPr>
          <w:rtl w:val="0"/>
        </w:rPr>
      </w:r>
    </w:p>
    <w:p w:rsidR="00000000" w:rsidDel="00000000" w:rsidP="00000000" w:rsidRDefault="00000000" w:rsidRPr="00000000" w14:paraId="0000007B">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r w:rsidDel="00000000" w:rsidR="00000000" w:rsidRPr="00000000">
        <w:rPr>
          <w:rtl w:val="0"/>
        </w:rPr>
      </w:r>
    </w:p>
    <w:p w:rsidR="00000000" w:rsidDel="00000000" w:rsidP="00000000" w:rsidRDefault="00000000" w:rsidRPr="00000000" w14:paraId="0000007C">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07E">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r w:rsidDel="00000000" w:rsidR="00000000" w:rsidRPr="00000000">
        <w:rPr>
          <w:rtl w:val="0"/>
        </w:rPr>
      </w:r>
    </w:p>
    <w:p w:rsidR="00000000" w:rsidDel="00000000" w:rsidP="00000000" w:rsidRDefault="00000000" w:rsidRPr="00000000" w14:paraId="0000007F">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r w:rsidDel="00000000" w:rsidR="00000000" w:rsidRPr="00000000">
        <w:rPr>
          <w:rtl w:val="0"/>
        </w:rPr>
      </w:r>
    </w:p>
    <w:p w:rsidR="00000000" w:rsidDel="00000000" w:rsidP="00000000" w:rsidRDefault="00000000" w:rsidRPr="00000000" w14:paraId="00000080">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Del="00000000" w:rsidR="00000000" w:rsidRPr="00000000">
        <w:rPr>
          <w:rtl w:val="0"/>
        </w:rPr>
      </w:r>
    </w:p>
    <w:p w:rsidR="00000000" w:rsidDel="00000000" w:rsidP="00000000" w:rsidRDefault="00000000" w:rsidRPr="00000000" w14:paraId="00000081">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развитие процесса, а также выдвигать предположения о его развитии в новых условиях.</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083">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дефициты информации, данных, необходимых для ответа на вопрос и для решения задачи;</w:t>
      </w:r>
      <w:r w:rsidDel="00000000" w:rsidR="00000000" w:rsidRPr="00000000">
        <w:rPr>
          <w:rtl w:val="0"/>
        </w:rPr>
      </w:r>
    </w:p>
    <w:p w:rsidR="00000000" w:rsidDel="00000000" w:rsidP="00000000" w:rsidRDefault="00000000" w:rsidRPr="00000000" w14:paraId="00000084">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085">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структурировать информацию, представлять её в различных формах, иллюстрировать графически;</w:t>
      </w:r>
      <w:r w:rsidDel="00000000" w:rsidR="00000000" w:rsidRPr="00000000">
        <w:rPr>
          <w:rtl w:val="0"/>
        </w:rPr>
      </w:r>
    </w:p>
    <w:p w:rsidR="00000000" w:rsidDel="00000000" w:rsidP="00000000" w:rsidRDefault="00000000" w:rsidRPr="00000000" w14:paraId="00000086">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информации по самостоятельно сформулированным критериям.</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i w:val="1"/>
          <w:color w:val="000000"/>
          <w:sz w:val="28"/>
          <w:szCs w:val="28"/>
          <w:rtl w:val="0"/>
        </w:rPr>
        <w:t xml:space="preserve">Универсальные </w:t>
      </w:r>
      <w:r w:rsidDel="00000000" w:rsidR="00000000" w:rsidRPr="00000000">
        <w:rPr>
          <w:rFonts w:ascii="Times New Roman" w:cs="Times New Roman" w:eastAsia="Times New Roman" w:hAnsi="Times New Roman"/>
          <w:b w:val="1"/>
          <w:i w:val="1"/>
          <w:color w:val="000000"/>
          <w:sz w:val="28"/>
          <w:szCs w:val="28"/>
          <w:rtl w:val="0"/>
        </w:rPr>
        <w:t xml:space="preserve">коммуникативные </w:t>
      </w:r>
      <w:r w:rsidDel="00000000" w:rsidR="00000000" w:rsidRPr="00000000">
        <w:rPr>
          <w:rFonts w:ascii="Times New Roman" w:cs="Times New Roman" w:eastAsia="Times New Roman" w:hAnsi="Times New Roman"/>
          <w:i w:val="1"/>
          <w:color w:val="000000"/>
          <w:sz w:val="28"/>
          <w:szCs w:val="28"/>
          <w:rtl w:val="0"/>
        </w:rPr>
        <w:t xml:space="preserve">действия, обеспечивают сформированность социальных навыков обучающихся.</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089">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r w:rsidDel="00000000" w:rsidR="00000000" w:rsidRPr="00000000">
        <w:rPr>
          <w:rtl w:val="0"/>
        </w:rPr>
      </w:r>
    </w:p>
    <w:p w:rsidR="00000000" w:rsidDel="00000000" w:rsidP="00000000" w:rsidRDefault="00000000" w:rsidRPr="00000000" w14:paraId="0000008A">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r w:rsidDel="00000000" w:rsidR="00000000" w:rsidRPr="00000000">
        <w:rPr>
          <w:rtl w:val="0"/>
        </w:rPr>
      </w:r>
    </w:p>
    <w:p w:rsidR="00000000" w:rsidDel="00000000" w:rsidP="00000000" w:rsidRDefault="00000000" w:rsidRPr="00000000" w14:paraId="0000008B">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Сотрудничество:</w:t>
      </w:r>
      <w:r w:rsidDel="00000000" w:rsidR="00000000" w:rsidRPr="00000000">
        <w:rPr>
          <w:rtl w:val="0"/>
        </w:rPr>
      </w:r>
    </w:p>
    <w:p w:rsidR="00000000" w:rsidDel="00000000" w:rsidP="00000000" w:rsidRDefault="00000000" w:rsidRPr="00000000" w14:paraId="0000008D">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r w:rsidDel="00000000" w:rsidR="00000000" w:rsidRPr="00000000">
        <w:rPr>
          <w:rtl w:val="0"/>
        </w:rPr>
      </w:r>
    </w:p>
    <w:p w:rsidR="00000000" w:rsidDel="00000000" w:rsidP="00000000" w:rsidRDefault="00000000" w:rsidRPr="00000000" w14:paraId="0000008E">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i w:val="1"/>
          <w:color w:val="000000"/>
          <w:sz w:val="28"/>
          <w:szCs w:val="28"/>
          <w:rtl w:val="0"/>
        </w:rPr>
        <w:t xml:space="preserve">Универсальные </w:t>
      </w:r>
      <w:r w:rsidDel="00000000" w:rsidR="00000000" w:rsidRPr="00000000">
        <w:rPr>
          <w:rFonts w:ascii="Times New Roman" w:cs="Times New Roman" w:eastAsia="Times New Roman" w:hAnsi="Times New Roman"/>
          <w:b w:val="1"/>
          <w:i w:val="1"/>
          <w:color w:val="000000"/>
          <w:sz w:val="28"/>
          <w:szCs w:val="28"/>
          <w:rtl w:val="0"/>
        </w:rPr>
        <w:t xml:space="preserve">регулятивные </w:t>
      </w:r>
      <w:r w:rsidDel="00000000" w:rsidR="00000000" w:rsidRPr="00000000">
        <w:rPr>
          <w:rFonts w:ascii="Times New Roman" w:cs="Times New Roman" w:eastAsia="Times New Roman" w:hAnsi="Times New Roman"/>
          <w:i w:val="1"/>
          <w:color w:val="000000"/>
          <w:sz w:val="28"/>
          <w:szCs w:val="28"/>
          <w:rtl w:val="0"/>
        </w:rPr>
        <w:t xml:space="preserve">действия, обеспечивают формирование смысловых установок и жизненных навыков личности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091">
      <w:pPr>
        <w:numPr>
          <w:ilvl w:val="0"/>
          <w:numId w:val="7"/>
        </w:numPr>
        <w:spacing w:after="0" w:lineRule="auto"/>
        <w:ind w:left="927" w:hanging="360"/>
        <w:rPr/>
      </w:pPr>
      <w:r w:rsidDel="00000000" w:rsidR="00000000" w:rsidRPr="00000000">
        <w:rPr>
          <w:rFonts w:ascii="Times New Roman" w:cs="Times New Roman" w:eastAsia="Times New Roman" w:hAnsi="Times New Roman"/>
          <w:color w:val="000000"/>
          <w:sz w:val="28"/>
          <w:szCs w:val="28"/>
          <w:rtl w:val="0"/>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w:t>
      </w:r>
      <w:r w:rsidDel="00000000" w:rsidR="00000000" w:rsidRPr="00000000">
        <w:rPr>
          <w:rtl w:val="0"/>
        </w:rPr>
      </w:r>
    </w:p>
    <w:p w:rsidR="00000000" w:rsidDel="00000000" w:rsidP="00000000" w:rsidRDefault="00000000" w:rsidRPr="00000000" w14:paraId="00000093">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r w:rsidDel="00000000" w:rsidR="00000000" w:rsidRPr="00000000">
        <w:rPr>
          <w:rtl w:val="0"/>
        </w:rPr>
      </w:r>
    </w:p>
    <w:p w:rsidR="00000000" w:rsidDel="00000000" w:rsidP="00000000" w:rsidRDefault="00000000" w:rsidRPr="00000000" w14:paraId="00000094">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r w:rsidDel="00000000" w:rsidR="00000000" w:rsidRPr="00000000">
        <w:rPr>
          <w:rtl w:val="0"/>
        </w:rPr>
      </w:r>
    </w:p>
    <w:p w:rsidR="00000000" w:rsidDel="00000000" w:rsidP="00000000" w:rsidRDefault="00000000" w:rsidRPr="00000000" w14:paraId="00000095">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r w:rsidDel="00000000" w:rsidR="00000000" w:rsidRPr="00000000">
        <w:rPr>
          <w:rtl w:val="0"/>
        </w:rPr>
      </w:r>
    </w:p>
    <w:p w:rsidR="00000000" w:rsidDel="00000000" w:rsidP="00000000" w:rsidRDefault="00000000" w:rsidRPr="00000000" w14:paraId="0000009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097">
      <w:pPr>
        <w:spacing w:after="0" w:line="264" w:lineRule="auto"/>
        <w:ind w:left="120" w:firstLine="0"/>
        <w:jc w:val="both"/>
        <w:rPr/>
      </w:pPr>
      <w:bookmarkStart w:colFirst="0" w:colLast="0" w:name="_gcbpd48ocxph" w:id="11"/>
      <w:bookmarkEnd w:id="11"/>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точка, прямая, плоскость.</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аксиомы стереометрии и следствия из них при решении геометрических задач.</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параллельность и перпендикулярность прямых и плоскостей.</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взаимное расположение прямых и плоскостей в пространстве.</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многогранник, выпуклый и невыпуклый многогранник, элементы многогранника, правильный многогранник.</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основные виды многогранников (пирамида; призма, прямоугольный параллелепипед, куб).</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секущая плоскость, сечение многогранников.</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принципы построения сечений, используя метод следов.</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Строить сечения многогранников методом следов, выполнять (выносные) плоские чертежи из рисунков простых объёмных фигур: вид сверху, сбоку, снизу.</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симметрия в пространстве; центр, ось и плоскость симметрии; центр, ось и плоскость симметрии фигуры.</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простейшие программные средства и электронно-коммуникационные системы при решении стереометрических задач.</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математических закономерностей в природе и жизни, распознавать проявление законов геометрии в искусстве.</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p w:rsidR="00000000" w:rsidDel="00000000" w:rsidP="00000000" w:rsidRDefault="00000000" w:rsidRPr="00000000" w14:paraId="000000A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тела вращения (цилиндр, конус, сфера и шар).</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способы получения тел вращения.</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взаимное расположение сферы и плоскости.</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Вычислять объёмы и площади поверхностей тел вращения, геометрических тел с применением формул.</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многогранник, вписанный в сферу и описанный около сферы; сфера, вписанная в многогранник или тело вращения.</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Вычислять соотношения между площадями поверхностей и объёмами подобных тел.</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Изображать изучаемые фигуры от руки и с применением простых чертёжных инструментов.</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(выносные) плоские чертежи из рисунков простых объёмных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понятием вектор в пространстве.</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действия сложения векторов, вычитания векторов и умножения вектора на число, объяснять, какими свойствами они обладают.</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правило параллелепипеда.</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Задавать плоскость уравнением в декартовой системе координат.</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простейшие геометрические задачи на применение векторно-координатного метода.</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простейшие программные средства и электронно-коммуникационные системы при решении стереометрических задач.</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математических закономерностей в природе и жизни, распознавать проявление законов геометрии в искусстве.</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Del="00000000" w:rsidR="00000000" w:rsidRPr="00000000">
        <w:rPr>
          <w:rtl w:val="0"/>
        </w:rPr>
      </w:r>
    </w:p>
    <w:bookmarkStart w:colFirst="0" w:colLast="0" w:name="y76nk7vf43gf" w:id="12"/>
    <w:bookmarkEnd w:id="12"/>
    <w:p w:rsidR="00000000" w:rsidDel="00000000" w:rsidP="00000000" w:rsidRDefault="00000000" w:rsidRPr="00000000" w14:paraId="000000C3">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0C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3"/>
        <w:gridCol w:w="3575"/>
        <w:gridCol w:w="1206"/>
        <w:gridCol w:w="1841"/>
        <w:gridCol w:w="1910"/>
        <w:tblGridChange w:id="0">
          <w:tblGrid>
            <w:gridCol w:w="823"/>
            <w:gridCol w:w="3575"/>
            <w:gridCol w:w="1206"/>
            <w:gridCol w:w="1841"/>
            <w:gridCol w:w="191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0C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0C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C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C8">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0C9">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0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0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0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4">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в стереометрию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8">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9">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Прямые и плоскости в пространстве. Параллельность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D">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E">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2">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Углы между прямыми и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7">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8">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C">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D">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Объёмы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1">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F2">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сечения, расстояния и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6">
            <w:pPr>
              <w:spacing w:after="0" w:lineRule="auto"/>
              <w:ind w:left="135" w:firstLine="0"/>
              <w:jc w:val="cente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0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p w:rsidR="00000000" w:rsidDel="00000000" w:rsidP="00000000" w:rsidRDefault="00000000" w:rsidRPr="00000000" w14:paraId="000000F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4"/>
        <w:gridCol w:w="3351"/>
        <w:gridCol w:w="1299"/>
        <w:gridCol w:w="1841"/>
        <w:gridCol w:w="1910"/>
        <w:tblGridChange w:id="0">
          <w:tblGrid>
            <w:gridCol w:w="954"/>
            <w:gridCol w:w="3351"/>
            <w:gridCol w:w="1299"/>
            <w:gridCol w:w="1841"/>
            <w:gridCol w:w="191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0F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0F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F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0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0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C">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Тела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0">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1">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Объёмы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5">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6">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Векторы и координаты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A">
            <w:pPr>
              <w:spacing w:after="0" w:lineRule="auto"/>
              <w:ind w:left="135" w:firstLine="0"/>
              <w:jc w:val="center"/>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B">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F">
            <w:pPr>
              <w:spacing w:after="0" w:lineRule="auto"/>
              <w:ind w:left="135" w:firstLine="0"/>
              <w:jc w:val="cente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bookmarkStart w:colFirst="0" w:colLast="0" w:name="u864e99ylngk" w:id="13"/>
    <w:bookmarkEnd w:id="13"/>
    <w:p w:rsidR="00000000" w:rsidDel="00000000" w:rsidP="00000000" w:rsidRDefault="00000000" w:rsidRPr="00000000" w14:paraId="0000012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12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9"/>
        <w:gridCol w:w="2621"/>
        <w:gridCol w:w="947"/>
        <w:gridCol w:w="1841"/>
        <w:gridCol w:w="1910"/>
        <w:gridCol w:w="1347"/>
        <w:tblGridChange w:id="0">
          <w:tblGrid>
            <w:gridCol w:w="689"/>
            <w:gridCol w:w="2621"/>
            <w:gridCol w:w="947"/>
            <w:gridCol w:w="1841"/>
            <w:gridCol w:w="1910"/>
            <w:gridCol w:w="134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2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2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12A">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2B">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12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3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9">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пересекающиеся плоскости, пересекающиеся прямая и плоскость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Понятия: пересекающиеся плоскости, пересекающиеся прямая и плоскость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B">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Знакомство с многогранниками, изображение многогранников на рисунках, на проекционных чертежах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1">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Начальные сведения о кубе и пирамиде, их развёртки и модели. Сечения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7">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Начальные сведения о кубе и пирамиде, их развёртки и модели. Сечения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D">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3">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аксиоматическом построении стереометрии: аксиомы стереометрии и следствия из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Взаимное расположение прямых в пространстве: пересекающиеся, параллельные и скрещивающиеся прямые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прямых и плоскостей в пространстве: параллельные прямые в пространстве; параллельность трёх прямых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прямых и плоскостей в пространстве: Параллельность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7">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Углы с сонаправленными сторонами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D">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 между прямыми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3">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 между прямыми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9">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Параллельность плоскостей: параллельные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параллельных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Простейшие пространственные фигуры на плоскости: тетраэдр, куб, параллелепипед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B">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сечений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"Прямые и плоскости в пространстве. Параллельность прямых и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D">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прямой и плоскости: перпендикулярные прямые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3">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Прямые параллельные и перпендикулярные к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Прямые параллельные и перпендикулярные к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Признак перпендикулярности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Признак перпендикулярности прямой 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B">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прямой перпендикулярной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1">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прямой перпендикулярной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7">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прямой перпендикулярной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D">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3">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9">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F">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 и наклонные: расстояние от точки до плоскости, расстояние от прямой до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Углы в пространстве: угол между прямой и плоскостью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B">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Двугранный угол, линейный угол двугранного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1">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Двугранный угол, линейный угол двугранного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7">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плоскостей: признак перпендикулярности двух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D">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плоскостей: признак перпендикулярности двух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3">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Перпендикулярность плоскостей: признак перпендикулярности двух плоскостей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9">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F">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Теорема о трёх перпендикулярах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B">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темам "Перпендикулярность прямых и плоскостей" и "Углы между прямыми и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1">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многогранника, основные элементы многогранника, выпуклые и невыпуклые многогранники; развёртка многогранника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7">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Призма: n-угольная призма; грани и основания призмы; прямая и наклонная призмы; боковая и полная поверхность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D">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Параллелепипед, прямоугольный параллелепипед и его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3">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Пирамида: n-угольная пирамида, грани и основание пирамиды; боковая и полная поверхность пирамиды; правильная и усечённая пирамида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9">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F">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Представление о правильных многогранниках: октаэдр, додекаэдр и икосаэдр.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B">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элементов многогранников: рёбра, диагонали,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1">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Площадь боковой поверхности и полной поверхности прямой призмы, площадь оснований, теорема о боковой поверхности прямой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7">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Площадь боковой поверхности и поверхности правильной пирамиды, теорема о площади боковой поверхности усечённой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D">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"Многогранники"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3">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объёме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9">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F">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5">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B">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1">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7">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D">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призмы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3">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"Объёмы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9">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 Построение сечений в многограннике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F">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B">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p w:rsidR="00000000" w:rsidDel="00000000" w:rsidP="00000000" w:rsidRDefault="00000000" w:rsidRPr="00000000" w14:paraId="000002D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9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6"/>
        <w:gridCol w:w="2544"/>
        <w:gridCol w:w="977"/>
        <w:gridCol w:w="1841"/>
        <w:gridCol w:w="1910"/>
        <w:gridCol w:w="1347"/>
        <w:tblGridChange w:id="0">
          <w:tblGrid>
            <w:gridCol w:w="736"/>
            <w:gridCol w:w="2544"/>
            <w:gridCol w:w="977"/>
            <w:gridCol w:w="1841"/>
            <w:gridCol w:w="1910"/>
            <w:gridCol w:w="134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D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2DA">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B">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2D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E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9">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Сфера и шар: центр, радиус, диаметр; площадь поверхности 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Взаимное расположение сферы и плоскости; касательная плоскость к сфере; площадь 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сферы, шара на плоскости. Сечения шара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B">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Цилиндрическая поверхность, образующие цилиндрической поверхности, ось цилиндрической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1">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Цилиндр: основания и боковая поверхность, образующая и ось; площадь боковой и полной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7">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цилиндра на плоскости. Развёртка цилиндра. Сечения цилиндра (плоскостью, параллельной или перпендикулярной оси цилиндра)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D">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Коническая поверхность, образующие конической поверхности, ось и вершина конической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3">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Конус: основание и вершина, образующая и ось; площадь боковой и полной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Усечённый конус: образующие и высота; основания и боковая поверхность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конуса на плоскости. Развёртка конуса. Сечения конуса (плоскостью, параллельной основанию, и плоскостью, проходящей через вершину)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Комбинация тел вращения и многогранников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Многогранник, описанный около сферы; сфера, вписанная в многогранник или в тело 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объёме. Основные свойства объёмов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7">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цилиндра, конуса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D">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Объём шара и площадь 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Подобные тела в пространстве. Соотношения между площадями поверхностей, объёмами подобных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9">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темам "Тела вращения" и "Объемы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Вектор на плоскости и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Сложение и вычитание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B">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Умножение вектора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Разложение вектора по трём некомпланарным векторам. Правило параллелепипеда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связанных с применением правил действий с векторами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D">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Координатно-векторный метод при решении геометрических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3">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Прямоугольная система координат в пространстве. Координаты вектора. Простейшие задачи в координатах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 между векторами. Скалярное произведение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углов между прямыми и плоскостями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"Векторы и координаты в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B">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Основные фигуры, факты, теоремы курса планиметрии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Основные фигуры, факты, теоремы курса планиметрии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7">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Задачи планиметрии и методы их решения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D">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Задачи планиметрии и методы их решения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3">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 Основные фигуры, факты, теоремы курса стереометрии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9">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F">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bl>
    <w:p w:rsidR="00000000" w:rsidDel="00000000" w:rsidP="00000000" w:rsidRDefault="00000000" w:rsidRPr="00000000" w14:paraId="000003BA">
      <w:pPr>
        <w:spacing w:after="199" w:before="199" w:line="336" w:lineRule="auto"/>
        <w:ind w:left="120" w:firstLine="0"/>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134" w:top="1134" w:left="1701"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Play" w:cs="Play" w:eastAsia="Play" w:hAnsi="Play"/>
      <w:b w:val="1"/>
      <w:color w:val="0f4761"/>
      <w:sz w:val="28"/>
      <w:szCs w:val="28"/>
    </w:rPr>
  </w:style>
  <w:style w:type="paragraph" w:styleId="Heading2">
    <w:name w:val="heading 2"/>
    <w:basedOn w:val="Normal"/>
    <w:next w:val="Normal"/>
    <w:pPr>
      <w:keepNext w:val="1"/>
      <w:keepLines w:val="1"/>
      <w:spacing w:before="200" w:lineRule="auto"/>
    </w:pPr>
    <w:rPr>
      <w:rFonts w:ascii="Play" w:cs="Play" w:eastAsia="Play" w:hAnsi="Play"/>
      <w:b w:val="1"/>
      <w:color w:val="156082"/>
      <w:sz w:val="26"/>
      <w:szCs w:val="26"/>
    </w:rPr>
  </w:style>
  <w:style w:type="paragraph" w:styleId="Heading3">
    <w:name w:val="heading 3"/>
    <w:basedOn w:val="Normal"/>
    <w:next w:val="Normal"/>
    <w:pPr>
      <w:keepNext w:val="1"/>
      <w:keepLines w:val="1"/>
      <w:spacing w:before="200" w:lineRule="auto"/>
    </w:pPr>
    <w:rPr>
      <w:rFonts w:ascii="Play" w:cs="Play" w:eastAsia="Play" w:hAnsi="Play"/>
      <w:b w:val="1"/>
      <w:color w:val="156082"/>
    </w:rPr>
  </w:style>
  <w:style w:type="paragraph" w:styleId="Heading4">
    <w:name w:val="heading 4"/>
    <w:basedOn w:val="Normal"/>
    <w:next w:val="Normal"/>
    <w:pPr>
      <w:keepNext w:val="1"/>
      <w:keepLines w:val="1"/>
      <w:spacing w:before="200" w:lineRule="auto"/>
    </w:pPr>
    <w:rPr>
      <w:rFonts w:ascii="Play" w:cs="Play" w:eastAsia="Play" w:hAnsi="Play"/>
      <w:b w:val="1"/>
      <w:i w:val="1"/>
      <w:color w:val="15608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156082" w:space="4" w:sz="8" w:val="single"/>
      </w:pBdr>
      <w:spacing w:after="300" w:lineRule="auto"/>
    </w:pPr>
    <w:rPr>
      <w:rFonts w:ascii="Play" w:cs="Play" w:eastAsia="Play" w:hAnsi="Play"/>
      <w:color w:val="0a1d30"/>
      <w:sz w:val="52"/>
      <w:szCs w:val="52"/>
    </w:rPr>
  </w:style>
  <w:style w:type="paragraph" w:styleId="Subtitle">
    <w:name w:val="Subtitle"/>
    <w:basedOn w:val="Normal"/>
    <w:next w:val="Normal"/>
    <w:pPr>
      <w:ind w:left="86"/>
    </w:pPr>
    <w:rPr>
      <w:rFonts w:ascii="Play" w:cs="Play" w:eastAsia="Play" w:hAnsi="Play"/>
      <w:i w:val="1"/>
      <w:color w:val="156082"/>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